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239"/>
        <w:gridCol w:w="4706"/>
      </w:tblGrid>
      <w:tr w:rsidR="004A7219" w:rsidRPr="008D78AF" w:rsidTr="00D246B8">
        <w:tc>
          <w:tcPr>
            <w:tcW w:w="4788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4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11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7219" w:rsidRPr="008D78AF" w:rsidTr="00D246B8">
        <w:tc>
          <w:tcPr>
            <w:tcW w:w="4788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110" w:type="dxa"/>
          </w:tcPr>
          <w:p w:rsidR="004A7219" w:rsidRPr="008D78AF" w:rsidRDefault="004A7219" w:rsidP="00E2508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7219" w:rsidRPr="008D78AF" w:rsidRDefault="004A7219" w:rsidP="00E25088">
      <w:pPr>
        <w:jc w:val="both"/>
        <w:rPr>
          <w:rFonts w:ascii="Verdana" w:hAnsi="Verdana"/>
          <w:sz w:val="18"/>
          <w:szCs w:val="18"/>
        </w:rPr>
      </w:pPr>
    </w:p>
    <w:p w:rsidR="004A7219" w:rsidRPr="008D78AF" w:rsidRDefault="004A7219" w:rsidP="00E25088">
      <w:pPr>
        <w:jc w:val="both"/>
        <w:rPr>
          <w:rFonts w:ascii="Verdana" w:hAnsi="Verdana"/>
          <w:sz w:val="18"/>
          <w:szCs w:val="18"/>
        </w:rPr>
      </w:pPr>
    </w:p>
    <w:p w:rsidR="004A7219" w:rsidRPr="003B2916" w:rsidRDefault="003B2916" w:rsidP="00E25088">
      <w:pPr>
        <w:jc w:val="center"/>
        <w:rPr>
          <w:rFonts w:ascii="Gotham Pro" w:hAnsi="Gotham Pro" w:cs="Gotham Pro"/>
          <w:b/>
          <w:sz w:val="30"/>
          <w:szCs w:val="30"/>
          <w:lang w:val="uk-UA"/>
        </w:rPr>
      </w:pPr>
      <w:r>
        <w:rPr>
          <w:rFonts w:ascii="Gotham Pro" w:hAnsi="Gotham Pro" w:cs="Gotham Pro"/>
          <w:b/>
          <w:sz w:val="30"/>
          <w:szCs w:val="30"/>
          <w:lang w:val="uk-UA"/>
        </w:rPr>
        <w:t>НАКАЗ</w:t>
      </w:r>
    </w:p>
    <w:p w:rsidR="00520F81" w:rsidRDefault="004A7219" w:rsidP="00E25088">
      <w:pPr>
        <w:jc w:val="center"/>
        <w:rPr>
          <w:rFonts w:ascii="Gotham Pro" w:hAnsi="Gotham Pro" w:cs="Gotham Pro"/>
          <w:b/>
          <w:sz w:val="30"/>
          <w:szCs w:val="30"/>
        </w:rPr>
      </w:pPr>
      <w:r w:rsidRPr="00E25088">
        <w:rPr>
          <w:rFonts w:ascii="Gotham Pro" w:hAnsi="Gotham Pro" w:cs="Gotham Pro"/>
          <w:b/>
          <w:sz w:val="30"/>
          <w:szCs w:val="30"/>
        </w:rPr>
        <w:t>ПРО</w:t>
      </w:r>
      <w:r w:rsidR="00520F81" w:rsidRPr="00520F81">
        <w:rPr>
          <w:rFonts w:ascii="Gotham Pro" w:hAnsi="Gotham Pro" w:cs="Gotham Pro"/>
          <w:b/>
          <w:sz w:val="30"/>
          <w:szCs w:val="30"/>
        </w:rPr>
        <w:t xml:space="preserve"> </w:t>
      </w:r>
      <w:r w:rsidR="003B2916">
        <w:rPr>
          <w:rFonts w:ascii="Gotham Pro" w:hAnsi="Gotham Pro" w:cs="Gotham Pro"/>
          <w:b/>
          <w:sz w:val="30"/>
          <w:szCs w:val="30"/>
          <w:lang w:val="uk-UA"/>
        </w:rPr>
        <w:t>ОБЛІКОВУ ПОЛІТИКУ ТА ОРГАНІЗАЦІЮ БУХГАЛТЕРСЬКОГО ОБЛІКУ</w:t>
      </w:r>
      <w:r w:rsidRPr="00E25088">
        <w:rPr>
          <w:rFonts w:ascii="Gotham Pro" w:hAnsi="Gotham Pro" w:cs="Gotham Pro"/>
          <w:b/>
          <w:sz w:val="30"/>
          <w:szCs w:val="30"/>
        </w:rPr>
        <w:t xml:space="preserve"> </w:t>
      </w:r>
    </w:p>
    <w:p w:rsidR="004A7219" w:rsidRPr="00E25088" w:rsidRDefault="003B2916" w:rsidP="00E25088">
      <w:pPr>
        <w:jc w:val="center"/>
        <w:rPr>
          <w:rFonts w:ascii="Gotham Pro" w:hAnsi="Gotham Pro" w:cs="Gotham Pro"/>
          <w:b/>
          <w:sz w:val="30"/>
          <w:szCs w:val="30"/>
        </w:rPr>
      </w:pPr>
      <w:r w:rsidRPr="00E25088">
        <w:rPr>
          <w:rFonts w:ascii="Gotham Pro" w:hAnsi="Gotham Pro" w:cs="Gotham Pro"/>
          <w:b/>
          <w:sz w:val="30"/>
          <w:szCs w:val="30"/>
          <w:highlight w:val="yellow"/>
        </w:rPr>
        <w:t xml:space="preserve"> </w:t>
      </w:r>
      <w:r w:rsidR="004A7219" w:rsidRPr="00E25088">
        <w:rPr>
          <w:rFonts w:ascii="Gotham Pro" w:hAnsi="Gotham Pro" w:cs="Gotham Pro"/>
          <w:b/>
          <w:sz w:val="30"/>
          <w:szCs w:val="30"/>
          <w:highlight w:val="yellow"/>
        </w:rPr>
        <w:t>(</w:t>
      </w:r>
      <w:r w:rsidR="004A7219" w:rsidRPr="00E25088">
        <w:rPr>
          <w:rFonts w:ascii="Gotham Pro" w:hAnsi="Gotham Pro" w:cs="Gotham Pro"/>
          <w:b/>
          <w:i/>
          <w:sz w:val="30"/>
          <w:szCs w:val="30"/>
          <w:highlight w:val="yellow"/>
        </w:rPr>
        <w:t>НАЗВА ЮРИДИЧНОЇ ОСОБИ ПРИ ЯКІЙ ДІЄ ОФІС</w:t>
      </w:r>
      <w:r w:rsidR="004A7219" w:rsidRPr="00E25088">
        <w:rPr>
          <w:rFonts w:ascii="Gotham Pro" w:hAnsi="Gotham Pro" w:cs="Gotham Pro"/>
          <w:b/>
          <w:sz w:val="30"/>
          <w:szCs w:val="30"/>
          <w:highlight w:val="yellow"/>
        </w:rPr>
        <w:t>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3B2916" w:rsidRPr="003B2916" w:rsidTr="00BB6918">
        <w:tc>
          <w:tcPr>
            <w:tcW w:w="5070" w:type="dxa"/>
          </w:tcPr>
          <w:p w:rsidR="003B2916" w:rsidRPr="003B2916" w:rsidRDefault="003B2916" w:rsidP="00BB6918">
            <w:pPr>
              <w:rPr>
                <w:rFonts w:ascii="Verdana" w:hAnsi="Verdana"/>
                <w:i/>
                <w:sz w:val="18"/>
                <w:szCs w:val="18"/>
              </w:rPr>
            </w:pPr>
            <w:r w:rsidRPr="003B2916">
              <w:rPr>
                <w:rFonts w:ascii="Verdana" w:hAnsi="Verdana"/>
                <w:i/>
                <w:sz w:val="18"/>
                <w:szCs w:val="18"/>
              </w:rPr>
              <w:t xml:space="preserve">Про </w:t>
            </w:r>
            <w:proofErr w:type="spellStart"/>
            <w:r w:rsidRPr="003B2916">
              <w:rPr>
                <w:rFonts w:ascii="Verdana" w:hAnsi="Verdana"/>
                <w:i/>
                <w:sz w:val="18"/>
                <w:szCs w:val="18"/>
              </w:rPr>
              <w:t>облікову</w:t>
            </w:r>
            <w:proofErr w:type="spellEnd"/>
            <w:r w:rsidRPr="003B2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B2916">
              <w:rPr>
                <w:rFonts w:ascii="Verdana" w:hAnsi="Verdana"/>
                <w:i/>
                <w:sz w:val="18"/>
                <w:szCs w:val="18"/>
              </w:rPr>
              <w:t>політику</w:t>
            </w:r>
            <w:proofErr w:type="spellEnd"/>
            <w:r w:rsidRPr="003B2916">
              <w:rPr>
                <w:rFonts w:ascii="Verdana" w:hAnsi="Verdana"/>
                <w:i/>
                <w:sz w:val="18"/>
                <w:szCs w:val="18"/>
              </w:rPr>
              <w:t xml:space="preserve"> та </w:t>
            </w:r>
            <w:proofErr w:type="spellStart"/>
            <w:r w:rsidRPr="003B2916">
              <w:rPr>
                <w:rFonts w:ascii="Verdana" w:hAnsi="Verdana"/>
                <w:i/>
                <w:sz w:val="18"/>
                <w:szCs w:val="18"/>
              </w:rPr>
              <w:t>організацію</w:t>
            </w:r>
            <w:proofErr w:type="spellEnd"/>
            <w:r w:rsidRPr="003B2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B2916">
              <w:rPr>
                <w:rFonts w:ascii="Verdana" w:hAnsi="Verdana"/>
                <w:i/>
                <w:sz w:val="18"/>
                <w:szCs w:val="18"/>
              </w:rPr>
              <w:t>бухгалтерського</w:t>
            </w:r>
            <w:proofErr w:type="spellEnd"/>
            <w:r w:rsidRPr="003B291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3B2916">
              <w:rPr>
                <w:rFonts w:ascii="Verdana" w:hAnsi="Verdana"/>
                <w:i/>
                <w:sz w:val="18"/>
                <w:szCs w:val="18"/>
              </w:rPr>
              <w:t>обліку</w:t>
            </w:r>
            <w:proofErr w:type="spellEnd"/>
          </w:p>
        </w:tc>
        <w:tc>
          <w:tcPr>
            <w:tcW w:w="4819" w:type="dxa"/>
            <w:vMerge/>
          </w:tcPr>
          <w:p w:rsidR="003B2916" w:rsidRPr="003B2916" w:rsidRDefault="003B2916" w:rsidP="00BB69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B2916" w:rsidRPr="003B2916" w:rsidRDefault="003B2916" w:rsidP="003B2916">
      <w:pPr>
        <w:pStyle w:val="Bodytext20"/>
        <w:tabs>
          <w:tab w:val="left" w:pos="10351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</w:p>
    <w:p w:rsidR="003B2916" w:rsidRPr="003B2916" w:rsidRDefault="003B2916" w:rsidP="003B2916">
      <w:pPr>
        <w:pStyle w:val="Bodytext20"/>
        <w:tabs>
          <w:tab w:val="left" w:pos="10351"/>
        </w:tabs>
        <w:spacing w:line="240" w:lineRule="auto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Закону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України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«Про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фінансову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в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Україні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»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16.07.1999 р. № 9996-ХIV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положенням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(стандартам)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необхідно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забезпечити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у </w:t>
      </w:r>
      <w:r w:rsidR="007279BE" w:rsidRPr="007279BE">
        <w:rPr>
          <w:rFonts w:ascii="Verdana" w:eastAsiaTheme="minorEastAsia" w:hAnsi="Verdana" w:cstheme="minorBidi"/>
          <w:sz w:val="18"/>
          <w:szCs w:val="18"/>
          <w:highlight w:val="yellow"/>
        </w:rPr>
        <w:t>_________________________</w:t>
      </w:r>
      <w:r w:rsidRPr="003B2916">
        <w:rPr>
          <w:rFonts w:ascii="Verdana" w:eastAsiaTheme="minorEastAsia" w:hAnsi="Verdana" w:cstheme="minorBidi"/>
          <w:sz w:val="18"/>
          <w:szCs w:val="18"/>
        </w:rPr>
        <w:t xml:space="preserve"> (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далі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– «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»)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єдині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(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постійні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)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принципи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методи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процедури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при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відбитті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поточних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операцій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складанні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фінансової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звітності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Для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забезпечення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належного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ведення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урахуванням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особливостей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діяльності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технології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обробки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облікових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даних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наказую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:</w:t>
      </w:r>
    </w:p>
    <w:p w:rsidR="003B2916" w:rsidRPr="003B2916" w:rsidRDefault="003B2916" w:rsidP="003B2916">
      <w:pPr>
        <w:pStyle w:val="Bodytext20"/>
        <w:tabs>
          <w:tab w:val="left" w:pos="10351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Ведення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обов’язки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касира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покласти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</w:t>
      </w:r>
      <w:r w:rsidR="007279BE">
        <w:rPr>
          <w:rFonts w:ascii="Verdana" w:eastAsiaTheme="minorEastAsia" w:hAnsi="Verdana" w:cstheme="minorBidi"/>
          <w:sz w:val="18"/>
          <w:szCs w:val="18"/>
          <w:lang w:val="uk-UA"/>
        </w:rPr>
        <w:t xml:space="preserve"> бухгалтера</w:t>
      </w:r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="007279BE" w:rsidRPr="007279BE">
        <w:rPr>
          <w:rFonts w:ascii="Verdana" w:eastAsiaTheme="minorEastAsia" w:hAnsi="Verdana" w:cstheme="minorBidi"/>
          <w:sz w:val="18"/>
          <w:szCs w:val="18"/>
          <w:highlight w:val="yellow"/>
        </w:rPr>
        <w:t>_________________________</w:t>
      </w:r>
      <w:r w:rsidRPr="003B2916">
        <w:rPr>
          <w:rFonts w:ascii="Verdana" w:eastAsiaTheme="minorEastAsia" w:hAnsi="Verdana" w:cstheme="minorBidi"/>
          <w:sz w:val="18"/>
          <w:szCs w:val="18"/>
        </w:rPr>
        <w:t xml:space="preserve">, права,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обов’язки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відповідальність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якої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регулюється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посадовою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інструкцією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tabs>
          <w:tab w:val="left" w:pos="0"/>
        </w:tabs>
        <w:spacing w:line="240" w:lineRule="auto"/>
        <w:ind w:left="567"/>
        <w:jc w:val="both"/>
        <w:rPr>
          <w:rFonts w:ascii="Verdana" w:eastAsiaTheme="minorEastAsia" w:hAnsi="Verdana" w:cstheme="minorBidi"/>
          <w:sz w:val="18"/>
          <w:szCs w:val="18"/>
        </w:rPr>
      </w:pPr>
    </w:p>
    <w:p w:rsidR="003B2916" w:rsidRPr="003B2916" w:rsidRDefault="003B2916" w:rsidP="003B2916">
      <w:pPr>
        <w:pStyle w:val="Bodytext20"/>
        <w:tabs>
          <w:tab w:val="left" w:pos="0"/>
        </w:tabs>
        <w:spacing w:line="240" w:lineRule="auto"/>
        <w:ind w:left="567"/>
        <w:jc w:val="both"/>
        <w:rPr>
          <w:rFonts w:ascii="Verdana" w:eastAsiaTheme="minorEastAsia" w:hAnsi="Verdana" w:cstheme="minorBidi"/>
          <w:b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Бухгалтерові</w:t>
      </w:r>
      <w:proofErr w:type="spellEnd"/>
      <w:r w:rsidRPr="003B2916">
        <w:rPr>
          <w:rFonts w:ascii="Verdana" w:eastAsiaTheme="minorEastAsia" w:hAnsi="Verdana" w:cstheme="minorBidi"/>
          <w:b/>
          <w:sz w:val="18"/>
          <w:szCs w:val="18"/>
        </w:rPr>
        <w:t>: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Здійснювати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ведення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принципів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методів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передбаченими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положеннями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(стандартами)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 w:rsidRPr="003B2916">
        <w:rPr>
          <w:rFonts w:ascii="Verdana" w:eastAsiaTheme="minorEastAsia" w:hAnsi="Verdana" w:cstheme="minorBidi"/>
          <w:sz w:val="18"/>
          <w:szCs w:val="18"/>
        </w:rPr>
        <w:t xml:space="preserve">За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відсутності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необхідних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норм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вітчизняних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П(С)БО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застосовувати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норми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системи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міжнародних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стандартів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фінансової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звітності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МСБО–МСФЗ (IAS–IFRS).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Забезпечити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безперервність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відбиття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операцій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достовірну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оцінку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зобов'язань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капіталу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в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бухгалтерському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застосовуючи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журнально-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головну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форму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Організувати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аналітичний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руху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матеріальних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цінностей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оцінку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покупних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товарів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здійснювати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за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цінами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придбання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Відносити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малоцінних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необоротних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gramStart"/>
      <w:r w:rsidRPr="003B2916">
        <w:rPr>
          <w:rFonts w:ascii="Verdana" w:eastAsiaTheme="minorEastAsia" w:hAnsi="Verdana" w:cstheme="minorBidi"/>
          <w:sz w:val="18"/>
          <w:szCs w:val="18"/>
        </w:rPr>
        <w:t>до пункту</w:t>
      </w:r>
      <w:proofErr w:type="gram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5.1 П(З)БУ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строком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корисного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використання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більше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одного року й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вартістю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5 000 (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п’ять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тисяч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) грн.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Амортизацію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по таких активах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нараховувати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в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першому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місяці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використання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об'єктів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100 (сто)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відсотків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його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вартості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Відносити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малоцінних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швидкозношуваних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предметів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строком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використання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1 (один) року.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Списання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робити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першому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місяці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експлуатації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Встановити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прямолінійний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метод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нарахування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амортизації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нематеріальних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основних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засобів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Строк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корисного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використання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необоротних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визначається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наказом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Виконавчого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директора.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Застосовувати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План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рахунків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капіталу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зобов’язань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господарських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операцій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підприємств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організацій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затверджений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Наказом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Міністерства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фінансів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України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30.11.1999 р. № 291. З метою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забезпечення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необхідної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деталізації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обліково-економічної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інформації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бухгалтеру дозволено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своїм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розпорядженням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вводити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додаткову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систему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субрахунків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 w:rsidRPr="003B2916">
        <w:rPr>
          <w:rFonts w:ascii="Verdana" w:eastAsiaTheme="minorEastAsia" w:hAnsi="Verdana" w:cstheme="minorBidi"/>
          <w:sz w:val="18"/>
          <w:szCs w:val="18"/>
        </w:rPr>
        <w:t xml:space="preserve">Для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узагальнення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інформації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про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елементам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застосовувати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рахунки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класу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9 Плану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рахунків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Здійснювати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визнання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доходів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рівним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витратам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періоду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Затвердити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систему оплати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праці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за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штатним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розкладом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Включити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в систему оплати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праці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перелік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виплату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основної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й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додаткової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заробітної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плати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інших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видів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заохочень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виплат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вигляді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премій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заохочень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виплату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авторських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винагород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і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виплат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за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виконання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робіт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(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послуг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),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договорів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цивільно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-правового характеру, будь-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які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інші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виплати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в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грошовій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або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натуральній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формі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які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можуть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бути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встановлені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за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домовленістю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lastRenderedPageBreak/>
        <w:t>сторін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Застосовувати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журнально-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ордерну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систему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 w:rsidRPr="003B2916">
        <w:rPr>
          <w:rFonts w:ascii="Verdana" w:eastAsiaTheme="minorEastAsia" w:hAnsi="Verdana" w:cstheme="minorBidi"/>
          <w:sz w:val="18"/>
          <w:szCs w:val="18"/>
        </w:rPr>
        <w:t xml:space="preserve">Вести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податковий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законодавства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України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Застосовувати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комп’ютерну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програму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для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ведення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r w:rsidR="007279BE" w:rsidRPr="007279BE">
        <w:rPr>
          <w:rFonts w:ascii="Verdana" w:eastAsiaTheme="minorEastAsia" w:hAnsi="Verdana" w:cstheme="minorBidi"/>
          <w:sz w:val="18"/>
          <w:szCs w:val="18"/>
          <w:highlight w:val="yellow"/>
        </w:rPr>
        <w:t>_________________________</w:t>
      </w:r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Відповідальність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за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рівень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відповідності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реєстрів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порядку й способу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реєстрації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й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узагальнення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інформації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передбачених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цією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комп’ютерною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програмою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вимогам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законодавства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України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покладається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 бухгалтера </w:t>
      </w:r>
      <w:r w:rsidR="007279BE" w:rsidRPr="007279BE">
        <w:rPr>
          <w:rFonts w:ascii="Verdana" w:eastAsiaTheme="minorEastAsia" w:hAnsi="Verdana" w:cstheme="minorBidi"/>
          <w:sz w:val="18"/>
          <w:szCs w:val="18"/>
          <w:highlight w:val="yellow"/>
        </w:rPr>
        <w:t>_________________________</w:t>
      </w:r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Фінансова</w:t>
      </w:r>
      <w:proofErr w:type="spellEnd"/>
      <w:r w:rsidRPr="003B2916">
        <w:rPr>
          <w:rFonts w:ascii="Verdana" w:eastAsiaTheme="minorEastAsia" w:hAnsi="Verdana" w:cstheme="minorBidi"/>
          <w:b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звітність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складається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щомісячній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щоквартальній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щорічній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основі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містить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наступну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інформацію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: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 w:rsidRPr="003B2916">
        <w:rPr>
          <w:rFonts w:ascii="Verdana" w:eastAsiaTheme="minorEastAsia" w:hAnsi="Verdana" w:cstheme="minorBidi"/>
          <w:sz w:val="18"/>
          <w:szCs w:val="18"/>
        </w:rPr>
        <w:t xml:space="preserve">Баланс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повинен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відображати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залишки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активів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зобов’язань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капіталу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на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дату. Баланс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складається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щоквартально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щорічно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про доходи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повинен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відображати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перелік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доходів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розрізі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кожного 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проектів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Крім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того,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повинні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відображатись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бюджетні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фактичні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показники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по кожному 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проектів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можливість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їх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порівняння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про доходи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витрати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складається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щоквартально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щорічно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про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рух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грошових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коштів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розрізі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кожного 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проектів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Крім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того, 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повинні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відображатись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бюджетні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фактичні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показники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по кожному 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проектів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можливість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їх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порівняння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.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про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рух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грошових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коштів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складається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щомісячно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щоквартально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щорічно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Фінансова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звітність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охоплює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усі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без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винятку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господарські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proofErr w:type="gramStart"/>
      <w:r w:rsidRPr="003B2916">
        <w:rPr>
          <w:rFonts w:ascii="Verdana" w:eastAsiaTheme="minorEastAsia" w:hAnsi="Verdana" w:cstheme="minorBidi"/>
          <w:sz w:val="18"/>
          <w:szCs w:val="18"/>
        </w:rPr>
        <w:t>операції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звітного</w:t>
      </w:r>
      <w:proofErr w:type="spellEnd"/>
      <w:proofErr w:type="gram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періоду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Річний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фінансовий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звіт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погоджується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Правлінням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затверджується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Загальними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зборами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tabs>
          <w:tab w:val="left" w:pos="0"/>
        </w:tabs>
        <w:spacing w:line="240" w:lineRule="auto"/>
        <w:ind w:left="567"/>
        <w:jc w:val="both"/>
        <w:rPr>
          <w:rFonts w:ascii="Verdana" w:eastAsiaTheme="minorEastAsia" w:hAnsi="Verdana" w:cstheme="minorBidi"/>
          <w:sz w:val="18"/>
          <w:szCs w:val="18"/>
        </w:rPr>
      </w:pPr>
    </w:p>
    <w:p w:rsidR="003B2916" w:rsidRPr="003B2916" w:rsidRDefault="003B2916" w:rsidP="003B2916">
      <w:pPr>
        <w:pStyle w:val="Bodytext20"/>
        <w:numPr>
          <w:ilvl w:val="0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Внесення</w:t>
      </w:r>
      <w:proofErr w:type="spellEnd"/>
      <w:r w:rsidRPr="003B2916">
        <w:rPr>
          <w:rFonts w:ascii="Verdana" w:eastAsiaTheme="minorEastAsia" w:hAnsi="Verdana" w:cstheme="minorBidi"/>
          <w:b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змін</w:t>
      </w:r>
      <w:proofErr w:type="spellEnd"/>
      <w:r w:rsidRPr="003B2916">
        <w:rPr>
          <w:rFonts w:ascii="Verdana" w:eastAsiaTheme="minorEastAsia" w:hAnsi="Verdana" w:cstheme="minorBidi"/>
          <w:b/>
          <w:sz w:val="18"/>
          <w:szCs w:val="18"/>
        </w:rPr>
        <w:t xml:space="preserve"> до </w:t>
      </w: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облікової</w:t>
      </w:r>
      <w:proofErr w:type="spellEnd"/>
      <w:r w:rsidRPr="003B2916">
        <w:rPr>
          <w:rFonts w:ascii="Verdana" w:eastAsiaTheme="minorEastAsia" w:hAnsi="Verdana" w:cstheme="minorBidi"/>
          <w:b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b/>
          <w:sz w:val="18"/>
          <w:szCs w:val="18"/>
        </w:rPr>
        <w:t>політики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здійснюється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: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 w:rsidRPr="003B2916">
        <w:rPr>
          <w:rFonts w:ascii="Verdana" w:eastAsiaTheme="minorEastAsia" w:hAnsi="Verdana" w:cstheme="minorBidi"/>
          <w:sz w:val="18"/>
          <w:szCs w:val="18"/>
        </w:rPr>
        <w:t xml:space="preserve">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разі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зміни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законодавства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та/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або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стандартів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бухгалтерського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обліку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7279BE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>
        <w:rPr>
          <w:rFonts w:ascii="Verdana" w:eastAsiaTheme="minorEastAsia" w:hAnsi="Verdana" w:cstheme="minorBidi"/>
          <w:sz w:val="18"/>
          <w:szCs w:val="18"/>
        </w:rPr>
        <w:t xml:space="preserve">У </w:t>
      </w:r>
      <w:proofErr w:type="spellStart"/>
      <w:r>
        <w:rPr>
          <w:rFonts w:ascii="Verdana" w:eastAsiaTheme="minorEastAsia" w:hAnsi="Verdana" w:cstheme="minorBidi"/>
          <w:sz w:val="18"/>
          <w:szCs w:val="18"/>
        </w:rPr>
        <w:t>разі</w:t>
      </w:r>
      <w:proofErr w:type="spellEnd"/>
      <w:r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>
        <w:rPr>
          <w:rFonts w:ascii="Verdana" w:eastAsiaTheme="minorEastAsia" w:hAnsi="Verdana" w:cstheme="minorBidi"/>
          <w:sz w:val="18"/>
          <w:szCs w:val="18"/>
        </w:rPr>
        <w:t>зміни</w:t>
      </w:r>
      <w:proofErr w:type="spellEnd"/>
      <w:r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>
        <w:rPr>
          <w:rFonts w:ascii="Verdana" w:eastAsiaTheme="minorEastAsia" w:hAnsi="Verdana" w:cstheme="minorBidi"/>
          <w:sz w:val="18"/>
          <w:szCs w:val="18"/>
        </w:rPr>
        <w:t>положень</w:t>
      </w:r>
      <w:proofErr w:type="spellEnd"/>
      <w:r>
        <w:rPr>
          <w:rFonts w:ascii="Verdana" w:eastAsiaTheme="minorEastAsia" w:hAnsi="Verdana" w:cstheme="minorBidi"/>
          <w:sz w:val="18"/>
          <w:szCs w:val="18"/>
        </w:rPr>
        <w:t xml:space="preserve"> статуту </w:t>
      </w:r>
      <w:proofErr w:type="spellStart"/>
      <w:r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="003B2916"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numPr>
          <w:ilvl w:val="1"/>
          <w:numId w:val="44"/>
        </w:numPr>
        <w:tabs>
          <w:tab w:val="left" w:pos="0"/>
        </w:tabs>
        <w:spacing w:line="240" w:lineRule="auto"/>
        <w:ind w:left="567" w:hanging="567"/>
        <w:jc w:val="both"/>
        <w:rPr>
          <w:rFonts w:ascii="Verdana" w:eastAsiaTheme="minorEastAsia" w:hAnsi="Verdana" w:cstheme="minorBidi"/>
          <w:sz w:val="18"/>
          <w:szCs w:val="18"/>
        </w:rPr>
      </w:pPr>
      <w:r w:rsidRPr="003B2916">
        <w:rPr>
          <w:rFonts w:ascii="Verdana" w:eastAsiaTheme="minorEastAsia" w:hAnsi="Verdana" w:cstheme="minorBidi"/>
          <w:sz w:val="18"/>
          <w:szCs w:val="18"/>
        </w:rPr>
        <w:t xml:space="preserve">У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разі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,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якщо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нові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(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запропоновані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й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обґрунтовані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працівниками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="007279BE">
        <w:rPr>
          <w:rFonts w:ascii="Verdana" w:eastAsiaTheme="minorEastAsia" w:hAnsi="Verdana" w:cstheme="minorBidi"/>
          <w:sz w:val="18"/>
          <w:szCs w:val="18"/>
        </w:rPr>
        <w:t>Організації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)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положення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облікової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політики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забезпечують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більш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достовірне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відображення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господарських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операцій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або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збільшення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контролю над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бухгалтерським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 xml:space="preserve"> </w:t>
      </w:r>
      <w:proofErr w:type="spellStart"/>
      <w:r w:rsidRPr="003B2916">
        <w:rPr>
          <w:rFonts w:ascii="Verdana" w:eastAsiaTheme="minorEastAsia" w:hAnsi="Verdana" w:cstheme="minorBidi"/>
          <w:sz w:val="18"/>
          <w:szCs w:val="18"/>
        </w:rPr>
        <w:t>обліком</w:t>
      </w:r>
      <w:proofErr w:type="spellEnd"/>
      <w:r w:rsidRPr="003B2916">
        <w:rPr>
          <w:rFonts w:ascii="Verdana" w:eastAsiaTheme="minorEastAsia" w:hAnsi="Verdana" w:cstheme="minorBidi"/>
          <w:sz w:val="18"/>
          <w:szCs w:val="18"/>
        </w:rPr>
        <w:t>.</w:t>
      </w:r>
    </w:p>
    <w:p w:rsidR="003B2916" w:rsidRPr="003B2916" w:rsidRDefault="003B2916" w:rsidP="003B2916">
      <w:pPr>
        <w:pStyle w:val="Bodytext20"/>
        <w:tabs>
          <w:tab w:val="left" w:pos="0"/>
        </w:tabs>
        <w:spacing w:line="240" w:lineRule="auto"/>
        <w:ind w:left="567"/>
        <w:jc w:val="both"/>
        <w:rPr>
          <w:rFonts w:ascii="Verdana" w:eastAsiaTheme="minorEastAsia" w:hAnsi="Verdana" w:cstheme="minorBidi"/>
          <w:sz w:val="18"/>
          <w:szCs w:val="18"/>
        </w:rPr>
      </w:pPr>
    </w:p>
    <w:p w:rsidR="004A7219" w:rsidRPr="003B2916" w:rsidRDefault="004A7219" w:rsidP="00E25088">
      <w:pPr>
        <w:spacing w:after="120" w:line="23" w:lineRule="atLeast"/>
        <w:ind w:firstLine="510"/>
        <w:jc w:val="both"/>
        <w:rPr>
          <w:rFonts w:ascii="Verdana" w:hAnsi="Verdana"/>
          <w:sz w:val="18"/>
          <w:szCs w:val="18"/>
        </w:rPr>
      </w:pPr>
      <w:r w:rsidRPr="003B2916">
        <w:rPr>
          <w:rFonts w:ascii="Verdana" w:hAnsi="Verdana"/>
          <w:sz w:val="18"/>
          <w:szCs w:val="18"/>
        </w:rPr>
        <w:t>- - - - -</w:t>
      </w:r>
    </w:p>
    <w:p w:rsidR="0002635A" w:rsidRPr="003B2916" w:rsidRDefault="0002635A" w:rsidP="00E25088">
      <w:pPr>
        <w:jc w:val="both"/>
        <w:rPr>
          <w:rFonts w:ascii="Verdana" w:hAnsi="Verdana"/>
          <w:sz w:val="18"/>
          <w:szCs w:val="18"/>
        </w:rPr>
      </w:pPr>
    </w:p>
    <w:sectPr w:rsidR="0002635A" w:rsidRPr="003B2916" w:rsidSect="0002635A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88" w:rsidRDefault="00FD4A88" w:rsidP="00DA6158">
      <w:pPr>
        <w:spacing w:after="0" w:line="240" w:lineRule="auto"/>
      </w:pPr>
      <w:r>
        <w:separator/>
      </w:r>
    </w:p>
  </w:endnote>
  <w:endnote w:type="continuationSeparator" w:id="0">
    <w:p w:rsidR="00FD4A88" w:rsidRDefault="00FD4A88" w:rsidP="00D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tham Pro">
    <w:altName w:val="Calibri"/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96908497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7072895"/>
          <w:docPartObj>
            <w:docPartGallery w:val="Page Numbers (Top of Page)"/>
            <w:docPartUnique/>
          </w:docPartObj>
        </w:sdtPr>
        <w:sdtEndPr/>
        <w:sdtContent>
          <w:p w:rsidR="00A379D0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379D0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379D0" w:rsidRPr="0002635A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  <w:r w:rsidRPr="0002635A">
              <w:rPr>
                <w:rFonts w:ascii="Verdana" w:hAnsi="Verdana"/>
                <w:sz w:val="16"/>
                <w:szCs w:val="16"/>
                <w:lang w:val="uk-UA"/>
              </w:rPr>
              <w:t xml:space="preserve">Сторінка 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563E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02635A">
              <w:rPr>
                <w:rFonts w:ascii="Verdana" w:hAnsi="Verdana"/>
                <w:sz w:val="16"/>
                <w:szCs w:val="16"/>
                <w:lang w:val="uk-UA"/>
              </w:rPr>
              <w:t xml:space="preserve"> з 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563E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79D0" w:rsidRPr="00DA6158" w:rsidRDefault="00A379D0" w:rsidP="00A22EB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567" w:tblpY="3296"/>
      <w:tblW w:w="0" w:type="auto"/>
      <w:tblLook w:val="0000" w:firstRow="0" w:lastRow="0" w:firstColumn="0" w:lastColumn="0" w:noHBand="0" w:noVBand="0"/>
    </w:tblPr>
    <w:tblGrid>
      <w:gridCol w:w="2977"/>
      <w:gridCol w:w="2290"/>
    </w:tblGrid>
    <w:tr w:rsidR="00A379D0" w:rsidRPr="00520F81" w:rsidTr="00A379D0">
      <w:trPr>
        <w:trHeight w:val="228"/>
      </w:trPr>
      <w:tc>
        <w:tcPr>
          <w:tcW w:w="2977" w:type="dxa"/>
        </w:tcPr>
        <w:p w:rsidR="00A379D0" w:rsidRPr="000C0876" w:rsidRDefault="00A379D0" w:rsidP="0002635A">
          <w:pPr>
            <w:spacing w:before="240" w:after="0" w:line="216" w:lineRule="auto"/>
            <w:ind w:left="-113"/>
            <w:rPr>
              <w:b/>
              <w:noProof/>
              <w:sz w:val="24"/>
              <w:szCs w:val="24"/>
              <w:lang w:eastAsia="ru-RU"/>
            </w:rPr>
          </w:pPr>
          <w:r w:rsidRPr="000C0876">
            <w:rPr>
              <w:noProof/>
              <w:sz w:val="18"/>
              <w:szCs w:val="18"/>
              <w:lang w:eastAsia="ru-RU"/>
            </w:rPr>
            <w:t>вул. Бориса Гмирі, б. 17, оф. 4,            Київ, Україна, 02140</w:t>
          </w:r>
        </w:p>
      </w:tc>
      <w:tc>
        <w:tcPr>
          <w:tcW w:w="2290" w:type="dxa"/>
        </w:tcPr>
        <w:p w:rsidR="00A379D0" w:rsidRPr="000C0876" w:rsidRDefault="00A379D0" w:rsidP="0002635A">
          <w:pPr>
            <w:spacing w:before="240" w:after="0" w:line="216" w:lineRule="auto"/>
            <w:rPr>
              <w:noProof/>
              <w:sz w:val="18"/>
              <w:szCs w:val="18"/>
              <w:lang w:val="en-US" w:eastAsia="ru-RU"/>
            </w:rPr>
          </w:pPr>
          <w:r w:rsidRPr="000C0876">
            <w:rPr>
              <w:noProof/>
              <w:sz w:val="18"/>
              <w:szCs w:val="18"/>
              <w:lang w:val="en-US" w:eastAsia="ru-RU"/>
            </w:rPr>
            <w:t>vul. Borysa Hmyri, 17, office 4,  Kyiv, Ukraine, 02140</w:t>
          </w:r>
        </w:p>
        <w:p w:rsidR="00A379D0" w:rsidRPr="000C0876" w:rsidRDefault="00A379D0" w:rsidP="0002635A">
          <w:pPr>
            <w:spacing w:before="240" w:after="0" w:line="216" w:lineRule="auto"/>
            <w:rPr>
              <w:b/>
              <w:noProof/>
              <w:sz w:val="24"/>
              <w:szCs w:val="24"/>
              <w:lang w:val="en-US" w:eastAsia="ru-RU"/>
            </w:rPr>
          </w:pPr>
        </w:p>
      </w:tc>
    </w:tr>
  </w:tbl>
  <w:p w:rsidR="00A379D0" w:rsidRPr="0002635A" w:rsidRDefault="00A379D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88" w:rsidRDefault="00FD4A88" w:rsidP="00DA6158">
      <w:pPr>
        <w:spacing w:after="0" w:line="240" w:lineRule="auto"/>
      </w:pPr>
      <w:r>
        <w:separator/>
      </w:r>
    </w:p>
  </w:footnote>
  <w:footnote w:type="continuationSeparator" w:id="0">
    <w:p w:rsidR="00FD4A88" w:rsidRDefault="00FD4A88" w:rsidP="00D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14" w:type="dxa"/>
      <w:tblLook w:val="04A0" w:firstRow="1" w:lastRow="0" w:firstColumn="1" w:lastColumn="0" w:noHBand="0" w:noVBand="1"/>
    </w:tblPr>
    <w:tblGrid>
      <w:gridCol w:w="4258"/>
      <w:gridCol w:w="2830"/>
      <w:gridCol w:w="284"/>
      <w:gridCol w:w="2551"/>
    </w:tblGrid>
    <w:tr w:rsidR="00A379D0" w:rsidRPr="00520F81" w:rsidTr="00A379D0">
      <w:trPr>
        <w:trHeight w:val="1122"/>
      </w:trPr>
      <w:tc>
        <w:tcPr>
          <w:tcW w:w="4258" w:type="dxa"/>
          <w:shd w:val="clear" w:color="auto" w:fill="auto"/>
        </w:tcPr>
        <w:p w:rsidR="00A379D0" w:rsidRPr="000C0876" w:rsidRDefault="00A379D0" w:rsidP="0002635A">
          <w:pPr>
            <w:spacing w:after="0" w:line="240" w:lineRule="auto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4294967295" distB="4294967295" distL="114300" distR="114300" simplePos="0" relativeHeight="251659776" behindDoc="0" locked="0" layoutInCell="1" allowOverlap="1" wp14:anchorId="2B85522B" wp14:editId="34AE0FEB">
                    <wp:simplePos x="0" y="0"/>
                    <wp:positionH relativeFrom="column">
                      <wp:posOffset>725805</wp:posOffset>
                    </wp:positionH>
                    <wp:positionV relativeFrom="paragraph">
                      <wp:posOffset>786764</wp:posOffset>
                    </wp:positionV>
                    <wp:extent cx="5537835" cy="0"/>
                    <wp:effectExtent l="0" t="0" r="5715" b="0"/>
                    <wp:wrapNone/>
                    <wp:docPr id="5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3783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595AE8" id="Прямая соединительная линия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61.95pt" to="493.2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" strokecolor="#d9d9d9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007DCF">
            <w:rPr>
              <w:noProof/>
              <w:lang w:val="uk-UA" w:eastAsia="uk-UA"/>
            </w:rPr>
            <w:drawing>
              <wp:inline distT="0" distB="0" distL="0" distR="0" wp14:anchorId="14A56B1D" wp14:editId="290AE89D">
                <wp:extent cx="1843405" cy="614680"/>
                <wp:effectExtent l="0" t="0" r="0" b="0"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shd w:val="clear" w:color="auto" w:fill="auto"/>
        </w:tcPr>
        <w:p w:rsidR="00A379D0" w:rsidRPr="000C0876" w:rsidRDefault="00A379D0" w:rsidP="0002635A">
          <w:pPr>
            <w:spacing w:after="0" w:line="276" w:lineRule="auto"/>
            <w:rPr>
              <w:sz w:val="18"/>
              <w:szCs w:val="18"/>
            </w:rPr>
          </w:pPr>
          <w:r w:rsidRPr="000C0876">
            <w:rPr>
              <w:sz w:val="18"/>
              <w:szCs w:val="18"/>
            </w:rPr>
            <w:t xml:space="preserve">ГРОМАДСЬКА СПІЛКА </w:t>
          </w:r>
        </w:p>
        <w:p w:rsidR="00A379D0" w:rsidRPr="000C0876" w:rsidRDefault="00A379D0" w:rsidP="0002635A">
          <w:pPr>
            <w:spacing w:after="0" w:line="276" w:lineRule="auto"/>
            <w:ind w:right="-111"/>
            <w:rPr>
              <w:sz w:val="18"/>
              <w:szCs w:val="18"/>
            </w:rPr>
          </w:pPr>
          <w:r w:rsidRPr="000C0876">
            <w:rPr>
              <w:sz w:val="18"/>
              <w:szCs w:val="18"/>
            </w:rPr>
            <w:t>«МЕРЕЖА ПРАВОВОГО РОЗВИТКУ»</w:t>
          </w:r>
        </w:p>
        <w:p w:rsidR="00A379D0" w:rsidRPr="000C0876" w:rsidRDefault="00A379D0" w:rsidP="0002635A">
          <w:pPr>
            <w:spacing w:after="0" w:line="276" w:lineRule="auto"/>
            <w:rPr>
              <w:lang w:val="en-US"/>
            </w:rPr>
          </w:pPr>
          <w:r w:rsidRPr="000C0876">
            <w:rPr>
              <w:sz w:val="18"/>
              <w:szCs w:val="18"/>
            </w:rPr>
            <w:t>LEGAL DEVELOPMENT NETWORK</w:t>
          </w:r>
        </w:p>
      </w:tc>
      <w:tc>
        <w:tcPr>
          <w:tcW w:w="284" w:type="dxa"/>
          <w:shd w:val="clear" w:color="auto" w:fill="auto"/>
        </w:tcPr>
        <w:p w:rsidR="00A379D0" w:rsidRPr="000C0876" w:rsidRDefault="00A379D0" w:rsidP="0002635A">
          <w:pPr>
            <w:spacing w:after="0" w:line="240" w:lineRule="auto"/>
            <w:rPr>
              <w:lang w:val="en-US"/>
            </w:rPr>
          </w:pPr>
        </w:p>
      </w:tc>
      <w:tc>
        <w:tcPr>
          <w:tcW w:w="2551" w:type="dxa"/>
          <w:shd w:val="clear" w:color="auto" w:fill="auto"/>
        </w:tcPr>
        <w:p w:rsidR="00A379D0" w:rsidRPr="000C0876" w:rsidRDefault="00A379D0" w:rsidP="0002635A">
          <w:pPr>
            <w:spacing w:after="0" w:line="276" w:lineRule="auto"/>
            <w:rPr>
              <w:sz w:val="18"/>
              <w:szCs w:val="18"/>
              <w:lang w:val="en-US"/>
            </w:rPr>
          </w:pPr>
          <w:r w:rsidRPr="000C0876">
            <w:rPr>
              <w:sz w:val="18"/>
              <w:szCs w:val="18"/>
              <w:lang w:val="en-US"/>
            </w:rPr>
            <w:t xml:space="preserve">ldn.org.ua </w:t>
          </w:r>
        </w:p>
        <w:p w:rsidR="00A379D0" w:rsidRPr="000C0876" w:rsidRDefault="00A379D0" w:rsidP="0002635A">
          <w:pPr>
            <w:spacing w:after="0" w:line="276" w:lineRule="auto"/>
            <w:rPr>
              <w:lang w:val="en-US"/>
            </w:rPr>
          </w:pPr>
          <w:r w:rsidRPr="000C0876">
            <w:rPr>
              <w:sz w:val="18"/>
              <w:szCs w:val="18"/>
              <w:lang w:val="en-US"/>
            </w:rPr>
            <w:t>office@ldn.org.ua facebook.com/</w:t>
          </w:r>
          <w:proofErr w:type="spellStart"/>
          <w:r w:rsidRPr="000C0876">
            <w:rPr>
              <w:sz w:val="18"/>
              <w:szCs w:val="18"/>
              <w:lang w:val="en-US"/>
            </w:rPr>
            <w:t>legaldnetwork</w:t>
          </w:r>
          <w:proofErr w:type="spellEnd"/>
        </w:p>
      </w:tc>
    </w:tr>
  </w:tbl>
  <w:p w:rsidR="00A379D0" w:rsidRPr="0002635A" w:rsidRDefault="00A379D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1E902FD"/>
    <w:multiLevelType w:val="hybridMultilevel"/>
    <w:tmpl w:val="8912FD28"/>
    <w:lvl w:ilvl="0" w:tplc="0CBA90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3644C9D"/>
    <w:multiLevelType w:val="hybridMultilevel"/>
    <w:tmpl w:val="C24C5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D77B7"/>
    <w:multiLevelType w:val="hybridMultilevel"/>
    <w:tmpl w:val="DC0A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E356F"/>
    <w:multiLevelType w:val="hybridMultilevel"/>
    <w:tmpl w:val="5A525D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07ABD"/>
    <w:multiLevelType w:val="hybridMultilevel"/>
    <w:tmpl w:val="ED047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7603C"/>
    <w:multiLevelType w:val="hybridMultilevel"/>
    <w:tmpl w:val="5358B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86295"/>
    <w:multiLevelType w:val="hybridMultilevel"/>
    <w:tmpl w:val="2CA40DD6"/>
    <w:lvl w:ilvl="0" w:tplc="58F4E6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12686"/>
    <w:multiLevelType w:val="hybridMultilevel"/>
    <w:tmpl w:val="45BEED8A"/>
    <w:lvl w:ilvl="0" w:tplc="DA0478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7813"/>
    <w:multiLevelType w:val="hybridMultilevel"/>
    <w:tmpl w:val="7AA22A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12721"/>
    <w:multiLevelType w:val="hybridMultilevel"/>
    <w:tmpl w:val="0136F37E"/>
    <w:lvl w:ilvl="0" w:tplc="6A829126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74624"/>
    <w:multiLevelType w:val="hybridMultilevel"/>
    <w:tmpl w:val="505EA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33356"/>
    <w:multiLevelType w:val="hybridMultilevel"/>
    <w:tmpl w:val="2E84DF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7F4537C"/>
    <w:multiLevelType w:val="hybridMultilevel"/>
    <w:tmpl w:val="25B85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31B2F"/>
    <w:multiLevelType w:val="hybridMultilevel"/>
    <w:tmpl w:val="093A5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61E57"/>
    <w:multiLevelType w:val="multilevel"/>
    <w:tmpl w:val="32AA2FD0"/>
    <w:lvl w:ilvl="0">
      <w:start w:val="1"/>
      <w:numFmt w:val="decimal"/>
      <w:lvlText w:val="3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752321"/>
    <w:multiLevelType w:val="hybridMultilevel"/>
    <w:tmpl w:val="C0B44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78F6"/>
    <w:multiLevelType w:val="hybridMultilevel"/>
    <w:tmpl w:val="6C4AC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4511"/>
    <w:multiLevelType w:val="multilevel"/>
    <w:tmpl w:val="8D6E5C38"/>
    <w:lvl w:ilvl="0">
      <w:start w:val="1"/>
      <w:numFmt w:val="decimal"/>
      <w:lvlText w:val="5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B254B5"/>
    <w:multiLevelType w:val="hybridMultilevel"/>
    <w:tmpl w:val="30DA910C"/>
    <w:lvl w:ilvl="0" w:tplc="04161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A1A32"/>
    <w:multiLevelType w:val="multilevel"/>
    <w:tmpl w:val="44A6283C"/>
    <w:lvl w:ilvl="0">
      <w:start w:val="2"/>
      <w:numFmt w:val="decimal"/>
      <w:lvlText w:val="4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35351B"/>
    <w:multiLevelType w:val="multilevel"/>
    <w:tmpl w:val="332C7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1A05A2"/>
    <w:multiLevelType w:val="hybridMultilevel"/>
    <w:tmpl w:val="7F2C2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3F5"/>
    <w:multiLevelType w:val="hybridMultilevel"/>
    <w:tmpl w:val="F54AA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53B25"/>
    <w:multiLevelType w:val="hybridMultilevel"/>
    <w:tmpl w:val="9774C2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5D5C56D6"/>
    <w:multiLevelType w:val="hybridMultilevel"/>
    <w:tmpl w:val="4630014E"/>
    <w:lvl w:ilvl="0" w:tplc="9EC454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E5EE9"/>
    <w:multiLevelType w:val="hybridMultilevel"/>
    <w:tmpl w:val="ABC075B2"/>
    <w:lvl w:ilvl="0" w:tplc="23BC30BA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ABE4DA3"/>
    <w:multiLevelType w:val="multilevel"/>
    <w:tmpl w:val="34FC0C64"/>
    <w:lvl w:ilvl="0">
      <w:start w:val="1"/>
      <w:numFmt w:val="decimal"/>
      <w:lvlText w:val="4.1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9404F0"/>
    <w:multiLevelType w:val="hybridMultilevel"/>
    <w:tmpl w:val="B57245C4"/>
    <w:lvl w:ilvl="0" w:tplc="8C7878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E0E6A7A"/>
    <w:multiLevelType w:val="hybridMultilevel"/>
    <w:tmpl w:val="134A5152"/>
    <w:lvl w:ilvl="0" w:tplc="0B225C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66E4"/>
    <w:multiLevelType w:val="hybridMultilevel"/>
    <w:tmpl w:val="FB1E56FE"/>
    <w:lvl w:ilvl="0" w:tplc="44783B5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25FA3"/>
    <w:multiLevelType w:val="multilevel"/>
    <w:tmpl w:val="752A6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6526C1"/>
    <w:multiLevelType w:val="multilevel"/>
    <w:tmpl w:val="EBBC4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0" w15:restartNumberingAfterBreak="0">
    <w:nsid w:val="71BB5CF1"/>
    <w:multiLevelType w:val="multilevel"/>
    <w:tmpl w:val="B3F4464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4C1733"/>
    <w:multiLevelType w:val="hybridMultilevel"/>
    <w:tmpl w:val="4BD47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2EED"/>
    <w:multiLevelType w:val="hybridMultilevel"/>
    <w:tmpl w:val="ED9A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553E0"/>
    <w:multiLevelType w:val="hybridMultilevel"/>
    <w:tmpl w:val="2668ED62"/>
    <w:lvl w:ilvl="0" w:tplc="C4A44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4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16"/>
  </w:num>
  <w:num w:numId="15">
    <w:abstractNumId w:val="12"/>
  </w:num>
  <w:num w:numId="16">
    <w:abstractNumId w:val="23"/>
  </w:num>
  <w:num w:numId="17">
    <w:abstractNumId w:val="29"/>
  </w:num>
  <w:num w:numId="18">
    <w:abstractNumId w:val="18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43"/>
  </w:num>
  <w:num w:numId="24">
    <w:abstractNumId w:val="42"/>
  </w:num>
  <w:num w:numId="25">
    <w:abstractNumId w:val="10"/>
  </w:num>
  <w:num w:numId="26">
    <w:abstractNumId w:val="30"/>
  </w:num>
  <w:num w:numId="27">
    <w:abstractNumId w:val="32"/>
  </w:num>
  <w:num w:numId="28">
    <w:abstractNumId w:val="15"/>
  </w:num>
  <w:num w:numId="29">
    <w:abstractNumId w:val="36"/>
  </w:num>
  <w:num w:numId="30">
    <w:abstractNumId w:val="31"/>
  </w:num>
  <w:num w:numId="31">
    <w:abstractNumId w:val="19"/>
  </w:num>
  <w:num w:numId="32">
    <w:abstractNumId w:val="28"/>
  </w:num>
  <w:num w:numId="33">
    <w:abstractNumId w:val="38"/>
  </w:num>
  <w:num w:numId="34">
    <w:abstractNumId w:val="13"/>
  </w:num>
  <w:num w:numId="35">
    <w:abstractNumId w:val="20"/>
  </w:num>
  <w:num w:numId="36">
    <w:abstractNumId w:val="11"/>
  </w:num>
  <w:num w:numId="37">
    <w:abstractNumId w:val="9"/>
  </w:num>
  <w:num w:numId="38">
    <w:abstractNumId w:val="40"/>
  </w:num>
  <w:num w:numId="39">
    <w:abstractNumId w:val="22"/>
  </w:num>
  <w:num w:numId="40">
    <w:abstractNumId w:val="34"/>
  </w:num>
  <w:num w:numId="41">
    <w:abstractNumId w:val="27"/>
  </w:num>
  <w:num w:numId="42">
    <w:abstractNumId w:val="25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4"/>
    <w:rsid w:val="00021268"/>
    <w:rsid w:val="0002635A"/>
    <w:rsid w:val="00031276"/>
    <w:rsid w:val="00041B69"/>
    <w:rsid w:val="00085C5A"/>
    <w:rsid w:val="0009550B"/>
    <w:rsid w:val="000A643F"/>
    <w:rsid w:val="000C0876"/>
    <w:rsid w:val="000E6D1B"/>
    <w:rsid w:val="00132DC0"/>
    <w:rsid w:val="00135D04"/>
    <w:rsid w:val="00156A19"/>
    <w:rsid w:val="00193804"/>
    <w:rsid w:val="001A0B7E"/>
    <w:rsid w:val="001A1689"/>
    <w:rsid w:val="001B30C1"/>
    <w:rsid w:val="001B6011"/>
    <w:rsid w:val="001C0D0E"/>
    <w:rsid w:val="001E4E53"/>
    <w:rsid w:val="00224691"/>
    <w:rsid w:val="002309E5"/>
    <w:rsid w:val="00284062"/>
    <w:rsid w:val="002A0F7A"/>
    <w:rsid w:val="002E26D8"/>
    <w:rsid w:val="00305E28"/>
    <w:rsid w:val="00336358"/>
    <w:rsid w:val="00345F8E"/>
    <w:rsid w:val="00355A5E"/>
    <w:rsid w:val="00367FFC"/>
    <w:rsid w:val="00386DB7"/>
    <w:rsid w:val="003B2916"/>
    <w:rsid w:val="003D6A30"/>
    <w:rsid w:val="003E0F43"/>
    <w:rsid w:val="00447FBA"/>
    <w:rsid w:val="0045121F"/>
    <w:rsid w:val="0049339C"/>
    <w:rsid w:val="004A1D04"/>
    <w:rsid w:val="004A7219"/>
    <w:rsid w:val="00500944"/>
    <w:rsid w:val="00510948"/>
    <w:rsid w:val="00520F81"/>
    <w:rsid w:val="00525734"/>
    <w:rsid w:val="005563EE"/>
    <w:rsid w:val="00582D5D"/>
    <w:rsid w:val="005D12A2"/>
    <w:rsid w:val="005D46F2"/>
    <w:rsid w:val="006051E3"/>
    <w:rsid w:val="00627369"/>
    <w:rsid w:val="00656C0F"/>
    <w:rsid w:val="0065735A"/>
    <w:rsid w:val="006576DF"/>
    <w:rsid w:val="00694ACB"/>
    <w:rsid w:val="006955CA"/>
    <w:rsid w:val="006A58FD"/>
    <w:rsid w:val="006C530F"/>
    <w:rsid w:val="006E064F"/>
    <w:rsid w:val="007279BE"/>
    <w:rsid w:val="00732A08"/>
    <w:rsid w:val="0073428D"/>
    <w:rsid w:val="0076610C"/>
    <w:rsid w:val="0078005C"/>
    <w:rsid w:val="007C2D32"/>
    <w:rsid w:val="007D743A"/>
    <w:rsid w:val="008863FE"/>
    <w:rsid w:val="008C127B"/>
    <w:rsid w:val="008E0194"/>
    <w:rsid w:val="00905724"/>
    <w:rsid w:val="00951C2F"/>
    <w:rsid w:val="00963FE0"/>
    <w:rsid w:val="00971956"/>
    <w:rsid w:val="009975A1"/>
    <w:rsid w:val="00997E8B"/>
    <w:rsid w:val="009A461F"/>
    <w:rsid w:val="00A20553"/>
    <w:rsid w:val="00A22EB7"/>
    <w:rsid w:val="00A2665D"/>
    <w:rsid w:val="00A379D0"/>
    <w:rsid w:val="00A37CCD"/>
    <w:rsid w:val="00A6000F"/>
    <w:rsid w:val="00A67407"/>
    <w:rsid w:val="00B14270"/>
    <w:rsid w:val="00B430A4"/>
    <w:rsid w:val="00BB101F"/>
    <w:rsid w:val="00BB2A73"/>
    <w:rsid w:val="00BC0DC8"/>
    <w:rsid w:val="00BF5020"/>
    <w:rsid w:val="00C01F31"/>
    <w:rsid w:val="00C02115"/>
    <w:rsid w:val="00C0405E"/>
    <w:rsid w:val="00C04369"/>
    <w:rsid w:val="00C11935"/>
    <w:rsid w:val="00C17861"/>
    <w:rsid w:val="00C41544"/>
    <w:rsid w:val="00CB01D1"/>
    <w:rsid w:val="00CF1A7C"/>
    <w:rsid w:val="00D43FED"/>
    <w:rsid w:val="00DA6158"/>
    <w:rsid w:val="00DB0537"/>
    <w:rsid w:val="00DB148B"/>
    <w:rsid w:val="00DE5092"/>
    <w:rsid w:val="00E06810"/>
    <w:rsid w:val="00E25088"/>
    <w:rsid w:val="00E251A4"/>
    <w:rsid w:val="00EB2491"/>
    <w:rsid w:val="00EB4582"/>
    <w:rsid w:val="00F831F5"/>
    <w:rsid w:val="00FA1CB3"/>
    <w:rsid w:val="00FA5259"/>
    <w:rsid w:val="00FD4A88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CD9DC-619C-4D13-8982-DB9A990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A6158"/>
  </w:style>
  <w:style w:type="paragraph" w:styleId="a6">
    <w:name w:val="footer"/>
    <w:basedOn w:val="a"/>
    <w:link w:val="a7"/>
    <w:uiPriority w:val="99"/>
    <w:unhideWhenUsed/>
    <w:rsid w:val="00D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A6158"/>
  </w:style>
  <w:style w:type="paragraph" w:styleId="a8">
    <w:name w:val="List Paragraph"/>
    <w:basedOn w:val="a"/>
    <w:uiPriority w:val="99"/>
    <w:qFormat/>
    <w:rsid w:val="000A64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0D0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263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635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2635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635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2635A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2635A"/>
    <w:rPr>
      <w:rFonts w:ascii="Segoe UI" w:hAnsi="Segoe UI" w:cs="Segoe UI"/>
      <w:sz w:val="18"/>
      <w:szCs w:val="18"/>
      <w:lang w:eastAsia="en-US"/>
    </w:rPr>
  </w:style>
  <w:style w:type="character" w:styleId="af1">
    <w:name w:val="Emphasis"/>
    <w:qFormat/>
    <w:rsid w:val="00A379D0"/>
    <w:rPr>
      <w:i/>
      <w:iCs/>
    </w:rPr>
  </w:style>
  <w:style w:type="character" w:styleId="af2">
    <w:name w:val="Strong"/>
    <w:qFormat/>
    <w:rsid w:val="00A379D0"/>
    <w:rPr>
      <w:b/>
      <w:bCs/>
    </w:rPr>
  </w:style>
  <w:style w:type="paragraph" w:styleId="af3">
    <w:name w:val="Body Text"/>
    <w:basedOn w:val="a"/>
    <w:link w:val="af4"/>
    <w:rsid w:val="00A379D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4">
    <w:name w:val="Основний текст Знак"/>
    <w:basedOn w:val="a0"/>
    <w:link w:val="af3"/>
    <w:rsid w:val="00A379D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A379D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xfmc3">
    <w:name w:val="xfmc3"/>
    <w:basedOn w:val="a"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379D0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A3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379D0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A379D0"/>
  </w:style>
  <w:style w:type="paragraph" w:styleId="af6">
    <w:name w:val="Normal (Web)"/>
    <w:basedOn w:val="a"/>
    <w:uiPriority w:val="99"/>
    <w:unhideWhenUsed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520F8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F8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ing12">
    <w:name w:val="Heading #1 (2)_"/>
    <w:basedOn w:val="a0"/>
    <w:link w:val="Heading120"/>
    <w:rsid w:val="00520F8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20">
    <w:name w:val="Heading #1 (2)"/>
    <w:basedOn w:val="a"/>
    <w:link w:val="Heading12"/>
    <w:rsid w:val="00520F81"/>
    <w:pPr>
      <w:widowControl w:val="0"/>
      <w:shd w:val="clear" w:color="auto" w:fill="FFFFFF"/>
      <w:spacing w:after="480" w:line="283" w:lineRule="exact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rsid w:val="00C02115"/>
    <w:rPr>
      <w:rFonts w:ascii="Times New Roman" w:eastAsia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C02115"/>
    <w:pPr>
      <w:widowControl w:val="0"/>
      <w:shd w:val="clear" w:color="auto" w:fill="FFFFFF"/>
      <w:spacing w:after="0" w:line="274" w:lineRule="exact"/>
      <w:jc w:val="right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C02115"/>
    <w:rPr>
      <w:rFonts w:ascii="Arial" w:eastAsia="Arial" w:hAnsi="Arial" w:cs="Arial"/>
      <w:shd w:val="clear" w:color="auto" w:fill="FFFFFF"/>
    </w:rPr>
  </w:style>
  <w:style w:type="character" w:customStyle="1" w:styleId="Bodytext2105pt">
    <w:name w:val="Body text (2) + 10.5 pt"/>
    <w:basedOn w:val="Bodytext2"/>
    <w:rsid w:val="00C02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C02115"/>
    <w:pPr>
      <w:widowControl w:val="0"/>
      <w:shd w:val="clear" w:color="auto" w:fill="FFFFFF"/>
      <w:spacing w:after="0" w:line="269" w:lineRule="exact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Bodytext215ptBoldItalicSpacing0pt">
    <w:name w:val="Body text (2) + 15 pt;Bold;Italic;Spacing 0 pt"/>
    <w:basedOn w:val="Bodytext2"/>
    <w:rsid w:val="00C02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969B-BEF8-424F-98FD-8F8EE61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3178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Rusl2000</dc:creator>
  <cp:keywords/>
  <dc:description/>
  <cp:lastModifiedBy>Eugene Poltenko</cp:lastModifiedBy>
  <cp:revision>4</cp:revision>
  <cp:lastPrinted>2017-06-29T11:44:00Z</cp:lastPrinted>
  <dcterms:created xsi:type="dcterms:W3CDTF">2017-06-29T11:31:00Z</dcterms:created>
  <dcterms:modified xsi:type="dcterms:W3CDTF">2017-06-29T11:44:00Z</dcterms:modified>
</cp:coreProperties>
</file>